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Заключение 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комиссии  по бюджету и имущественным отношениям Собрания представителей сельского поселения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Красная Поляна</w:t>
      </w:r>
      <w:r>
        <w:rPr>
          <w:rFonts w:ascii="Times New Roman" w:cs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муниципального района Пестравский Самарской области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на годовой отчет об исполнении бюджета </w:t>
      </w:r>
      <w:r>
        <w:rPr>
          <w:rFonts w:ascii="Times New Roman" w:cs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Красная</w:t>
      </w:r>
      <w:r>
        <w:rPr>
          <w:rFonts w:ascii="Times New Roman" w:cs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Поляна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Пестравский Самарской области за 2019 год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</w:pPr>
      <w:r>
        <w:rPr>
          <w:rFonts w:ascii="Times New Roman" w:cs="Times New Roman" w:hAnsi="Times New Roman"/>
          <w:sz w:val="28"/>
          <w:szCs w:val="28"/>
        </w:rPr>
        <w:t xml:space="preserve">с. Красная Поляна                                                                    «16» апреля 2020 г.                                                              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Заключение комиссии по бюджету и имущественным отношениям Собрания представителей сельского поселения </w:t>
      </w:r>
      <w:r>
        <w:rPr>
          <w:rFonts w:ascii="Times New Roman" w:cs="Times New Roman" w:hAnsi="Times New Roman"/>
          <w:color w:val="000000"/>
          <w:sz w:val="28"/>
          <w:szCs w:val="28"/>
        </w:rPr>
        <w:t>Красная Поляна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муниципального района Пестравский Самарской области (далее – комиссия) на годовой отчет об исполнении бюджета сельского поселения </w:t>
      </w:r>
      <w:r>
        <w:rPr>
          <w:rFonts w:ascii="Times New Roman" w:cs="Times New Roman" w:hAnsi="Times New Roman"/>
          <w:color w:val="000000"/>
          <w:sz w:val="28"/>
          <w:szCs w:val="28"/>
        </w:rPr>
        <w:t>Красная Поляна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муниципального района Пестравский Самарской области за 2019 год (далее – годовой отчет) подготовлено с учетом требований Бюджетного кодекса Российской Федерации (далее – БК РФ), Устава сельского поселения </w:t>
      </w:r>
      <w:r>
        <w:rPr>
          <w:rFonts w:ascii="Times New Roman" w:cs="Times New Roman" w:hAnsi="Times New Roman"/>
          <w:color w:val="000000"/>
          <w:sz w:val="28"/>
          <w:szCs w:val="28"/>
        </w:rPr>
        <w:t>Красная Поляна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муниципального района Пестравский, Положения о бюджетном устройстве и бюджетном процессе в сельском поселении </w:t>
      </w:r>
      <w:r>
        <w:rPr>
          <w:rFonts w:ascii="Times New Roman" w:cs="Times New Roman" w:hAnsi="Times New Roman"/>
          <w:color w:val="000000"/>
          <w:sz w:val="28"/>
          <w:szCs w:val="28"/>
        </w:rPr>
        <w:t>Красная Поляна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муниципального района Пестравский Самарской области (далее – Положение о бюджетном процессе), Положения о комиссиях Собрания представителей сельского поселения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Красная Поляна </w:t>
      </w:r>
      <w:r>
        <w:rPr>
          <w:rFonts w:ascii="Times New Roman" w:cs="Times New Roman" w:hAnsi="Times New Roman"/>
          <w:color w:val="000000"/>
          <w:sz w:val="28"/>
          <w:szCs w:val="28"/>
        </w:rPr>
        <w:t>муниципального района Пестравский Самарской области, иных действующих законодательных и нормативно-правовых актов.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cs="Times New Roman" w:hAnsi="Times New Roman"/>
          <w:color w:val="000000"/>
          <w:sz w:val="28"/>
          <w:szCs w:val="28"/>
        </w:rPr>
        <w:t>Годовой отчет представлен в комиссию по бюджету и имущественным отношениям Собрания представителей сельского поселения Красная Поляна</w:t>
      </w:r>
      <w:r>
        <w:rPr>
          <w:rFonts w:ascii="Times New Roman" w:cs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муниципального района Пестравский Самарской области для проведения экспертизы и подготовки заключения 31 марта 2020 года, что соответствует требованиям ст. 264.4. БК РФ. Комиссия, рассмотрев годовой отчет, отмечает следующее.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В составе годового отчета представлена для внешней проверки бюджетная отчетность за 2019 год, что соответствует требованиям ст. 264.4. БК РФ. Показатели представленных форм взаимоувязаны. Расхождения не установлены. Отчетность в целом информативна. 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В соответствии с требованием ст. 264.6 БК РФ в прилагаемом к годовому отчету проекте решения об исполнении бюджета за год указаны показатели общего объема доходов, расходов и дефицита (профицита) бюджета, а также в приложениях к решению об исполнении бюджета за отчетный финансовый год отражены следующие показатели: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>доходы бюджета по кодам классификации доходов бюджетов;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• </w:t>
      </w:r>
      <w:r>
        <w:rPr>
          <w:rFonts w:ascii="Times New Roman" w:cs="Times New Roman" w:hAnsi="Times New Roman"/>
          <w:sz w:val="28"/>
          <w:szCs w:val="28"/>
        </w:rPr>
        <w:tab/>
        <w:t>расходы бюджета по ведомственной структуре расходов соответствующего бюджета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• </w:t>
      </w:r>
      <w:r>
        <w:rPr>
          <w:rFonts w:ascii="Times New Roman" w:cs="Times New Roman" w:hAnsi="Times New Roman"/>
          <w:sz w:val="28"/>
          <w:szCs w:val="28"/>
        </w:rPr>
        <w:tab/>
        <w:t>расходы бюджета по разделам и подразделам классификации расходов бюджетов;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 источники финансирования дефицита бюджета по кодам классификации источников финансирования дефицитов бюджетов.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В соответствии с п.7 ст.81 БК РФ к годовому отчету приложен отчет об использовании бюджетных ассигнований резервного фонда сельского поселения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Красная Поляна </w:t>
      </w:r>
      <w:r>
        <w:rPr>
          <w:rFonts w:ascii="Times New Roman" w:cs="Times New Roman" w:hAnsi="Times New Roman"/>
          <w:sz w:val="28"/>
          <w:szCs w:val="28"/>
        </w:rPr>
        <w:t>муниципального района Пестравский Самарской области за 2019 год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По итогам отчетного 2019 года доходы местного бюджета составили    6179,802 тыс. руб., расходы местного бюджета – 7023,629 тыс. руб. с уменьшением доходов над расходами в сумме 843,827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b/>
          <w:sz w:val="28"/>
          <w:szCs w:val="28"/>
        </w:rPr>
        <w:t>Структура доходов</w:t>
      </w:r>
      <w:r>
        <w:rPr>
          <w:rFonts w:ascii="Times New Roman" w:cs="Times New Roman" w:hAnsi="Times New Roman"/>
          <w:sz w:val="28"/>
          <w:szCs w:val="28"/>
        </w:rPr>
        <w:t xml:space="preserve"> в разрезе статей за 2019 год: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Налоговые и неналоговые доходы</w:t>
      </w:r>
      <w:r>
        <w:rPr>
          <w:rFonts w:ascii="Times New Roman" w:cs="Times New Roman" w:hAnsi="Times New Roman"/>
          <w:b/>
          <w:sz w:val="28"/>
          <w:szCs w:val="28"/>
        </w:rPr>
        <w:t xml:space="preserve"> – 4502,042 тыс. руб.,</w:t>
      </w:r>
      <w:r>
        <w:rPr>
          <w:rFonts w:ascii="Times New Roman" w:cs="Times New Roman" w:hAnsi="Times New Roman"/>
          <w:sz w:val="28"/>
          <w:szCs w:val="28"/>
        </w:rPr>
        <w:t xml:space="preserve"> из них: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Налог на доходы физических лиц – 681,016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Доходы от уплаты акцизов на ГСМ – 2355,252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ЕСХН – 541,902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Налог на имущество физических лиц – 59,819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Земельный налог – 864,053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Безвозмездные поступления</w:t>
      </w:r>
      <w:r>
        <w:rPr>
          <w:rFonts w:ascii="Times New Roman" w:cs="Times New Roman" w:hAnsi="Times New Roman"/>
          <w:b/>
          <w:sz w:val="28"/>
          <w:szCs w:val="28"/>
        </w:rPr>
        <w:t xml:space="preserve"> – 1677,760 тыс. руб.,</w:t>
      </w:r>
      <w:r>
        <w:rPr>
          <w:rFonts w:ascii="Times New Roman" w:cs="Times New Roman" w:hAnsi="Times New Roman"/>
          <w:sz w:val="28"/>
          <w:szCs w:val="28"/>
        </w:rPr>
        <w:t xml:space="preserve"> из них: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 Дотации на выравнивание уровня бюджетной обеспеченности – 24,184 тыс. руб.  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Субвенции бюджетам поселений на осуществление первичного воинского учета – 82,300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Прочие субсидии бюджетам сельских поселений  – 1128,600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Иные межбюджетные трансферты  – 442,676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Сравнительные показатели по выполнению плана доходов представлены в таблице (тыс. руб.):</w:t>
      </w:r>
    </w:p>
    <w:tbl>
      <w:tblPr>
        <w:jc w:val="left"/>
        <w:tblInd w:type="dxa" w:w="-216"/>
        <w:tblBorders/>
      </w:tblPr>
      <w:tblGrid>
        <w:gridCol w:w="3507"/>
        <w:gridCol w:w="1984"/>
        <w:gridCol w:w="1842"/>
        <w:gridCol w:w="2129"/>
      </w:tblGrid>
      <w:tr>
        <w:trPr>
          <w:trHeight w:hRule="atLeast" w:val="525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Бюджет (план) на 2019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Факт за 2019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 xml:space="preserve">Выполнение,  % 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Налоговые и неналоговые доходы, в т.ч.: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4674,663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4502,042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96,3</w:t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8"/>
                <w:szCs w:val="28"/>
              </w:rPr>
              <w:t>Налоговые доходы: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4661,011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4502,042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96,6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724,158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681,016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94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Доходы от уплаты акцизов на ГСМ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2363,304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2355,252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99,7</w:t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ЕСХН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591,549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541,902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91,6</w:t>
            </w:r>
          </w:p>
        </w:tc>
      </w:tr>
      <w:tr>
        <w:trPr>
          <w:trHeight w:hRule="atLeast" w:val="795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113,000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59,819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52,9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869,000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864,053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99,4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13,652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13,652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Безвозмездные поступления, в том числе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1992,384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1677,760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84,2</w:t>
            </w:r>
          </w:p>
        </w:tc>
      </w:tr>
      <w:tr>
        <w:trPr>
          <w:trHeight w:hRule="atLeast" w:val="659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24,184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24,184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>
        <w:trPr>
          <w:trHeight w:hRule="atLeast" w:val="518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82,300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82,300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>
        <w:trPr>
          <w:trHeight w:hRule="atLeast" w:val="1035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Прочие субсидии бюджетам сельских поселений  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1441,000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1128,600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78,3</w:t>
            </w:r>
          </w:p>
        </w:tc>
      </w:tr>
      <w:tr>
        <w:trPr>
          <w:trHeight w:hRule="atLeast" w:val="1035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444,900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442,676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99,5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35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type="dxa" w:w="19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6667,047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6179,802</w:t>
            </w:r>
          </w:p>
        </w:tc>
        <w:tc>
          <w:tcPr>
            <w:tcW w:type="dxa" w:w="21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677" w:val="center"/>
                <w:tab w:leader="none" w:pos="6936" w:val="left"/>
              </w:tabs>
              <w:spacing w:after="16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92,7</w:t>
            </w:r>
          </w:p>
        </w:tc>
      </w:tr>
    </w:tbl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Структура исполнения расходов</w:t>
      </w:r>
      <w:r>
        <w:rPr>
          <w:rFonts w:ascii="Times New Roman" w:cs="Times New Roman" w:hAnsi="Times New Roman"/>
          <w:sz w:val="28"/>
          <w:szCs w:val="28"/>
        </w:rPr>
        <w:t xml:space="preserve"> бюджета в разрезе разделов классификации за 2019 год выглядит следующим образом: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01.Общегосударственные вопросы – 2794,612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02.Национальная оборона – 82,918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03.Национальная безопасность и правоохранительная деятельность – 190,890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04.Национальная экономика – 2514,809 тыс. руб. 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05.Жилищно-коммунальное хозяйство – 1400,400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08.Культура – 40,000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Всего – 7023,629 тыс. руб.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Расходы из резервного фонда в 2019 году не производились.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Сравнительные показатели по исполнению расходной части бюджета представлены в следующей таблице (тыс. руб.):</w:t>
      </w:r>
    </w:p>
    <w:tbl>
      <w:tblPr>
        <w:jc w:val="left"/>
        <w:tblInd w:type="dxa" w:w="-12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380"/>
        <w:gridCol w:w="2736"/>
        <w:gridCol w:w="1598"/>
        <w:gridCol w:w="1603"/>
        <w:gridCol w:w="1728"/>
      </w:tblGrid>
      <w:tr>
        <w:trPr>
          <w:trHeight w:hRule="atLeast" w:val="975"/>
          <w:cantSplit w:val="false"/>
        </w:trPr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type="dxa" w:w="273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 расходов</w:t>
            </w:r>
          </w:p>
        </w:tc>
        <w:tc>
          <w:tcPr>
            <w:tcW w:type="dxa" w:w="1598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 на 2019 год</w:t>
            </w:r>
          </w:p>
        </w:tc>
        <w:tc>
          <w:tcPr>
            <w:tcW w:type="dxa" w:w="160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Исполнено за 2019 год</w:t>
            </w:r>
          </w:p>
        </w:tc>
        <w:tc>
          <w:tcPr>
            <w:tcW w:type="dxa" w:w="17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% исполнения</w:t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1380"/>
            <w:vMerge w:val="restart"/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type="dxa" w:w="2736"/>
            <w:vMerge w:val="restart"/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Общегосударственные  вопросы</w:t>
            </w:r>
          </w:p>
        </w:tc>
        <w:tc>
          <w:tcPr>
            <w:tcW w:type="dxa" w:w="1598"/>
            <w:vMerge w:val="restart"/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3333,976</w:t>
            </w:r>
          </w:p>
        </w:tc>
        <w:tc>
          <w:tcPr>
            <w:tcW w:type="dxa" w:w="1603"/>
            <w:vMerge w:val="restart"/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2794,612</w:t>
            </w:r>
          </w:p>
        </w:tc>
        <w:tc>
          <w:tcPr>
            <w:tcW w:type="dxa" w:w="1728"/>
            <w:vMerge w:val="restart"/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83,8</w:t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380"/>
            <w:vMerge w:val="continue"/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736"/>
            <w:vMerge w:val="continue"/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98"/>
            <w:vMerge w:val="continue"/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603"/>
            <w:vMerge w:val="continue"/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28"/>
            <w:vMerge w:val="continue"/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1485"/>
          <w:cantSplit w:val="false"/>
        </w:trPr>
        <w:tc>
          <w:tcPr>
            <w:tcW w:type="dxa" w:w="13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type="dxa" w:w="273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type="dxa" w:w="15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82,918</w:t>
            </w:r>
          </w:p>
        </w:tc>
        <w:tc>
          <w:tcPr>
            <w:tcW w:type="dxa" w:w="160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82,918</w:t>
            </w:r>
          </w:p>
        </w:tc>
        <w:tc>
          <w:tcPr>
            <w:tcW w:type="dxa" w:w="172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>
        <w:trPr>
          <w:trHeight w:hRule="atLeast" w:val="1485"/>
          <w:cantSplit w:val="false"/>
        </w:trPr>
        <w:tc>
          <w:tcPr>
            <w:tcW w:type="dxa" w:w="13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type="dxa" w:w="273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5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396,096</w:t>
            </w:r>
          </w:p>
        </w:tc>
        <w:tc>
          <w:tcPr>
            <w:tcW w:type="dxa" w:w="160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190,890</w:t>
            </w:r>
          </w:p>
        </w:tc>
        <w:tc>
          <w:tcPr>
            <w:tcW w:type="dxa" w:w="172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48,2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13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type="dxa" w:w="273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type="dxa" w:w="15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3097,318</w:t>
            </w:r>
          </w:p>
        </w:tc>
        <w:tc>
          <w:tcPr>
            <w:tcW w:type="dxa" w:w="160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2514,809</w:t>
            </w:r>
          </w:p>
        </w:tc>
        <w:tc>
          <w:tcPr>
            <w:tcW w:type="dxa" w:w="172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81,2</w:t>
            </w:r>
          </w:p>
        </w:tc>
      </w:tr>
      <w:tr>
        <w:trPr>
          <w:trHeight w:hRule="atLeast" w:val="1155"/>
          <w:cantSplit w:val="false"/>
        </w:trPr>
        <w:tc>
          <w:tcPr>
            <w:tcW w:type="dxa" w:w="13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05 00 </w:t>
            </w:r>
          </w:p>
        </w:tc>
        <w:tc>
          <w:tcPr>
            <w:tcW w:type="dxa" w:w="273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type="dxa" w:w="15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1402,625</w:t>
            </w:r>
          </w:p>
        </w:tc>
        <w:tc>
          <w:tcPr>
            <w:tcW w:type="dxa" w:w="160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1400,400</w:t>
            </w:r>
          </w:p>
        </w:tc>
        <w:tc>
          <w:tcPr>
            <w:tcW w:type="dxa" w:w="172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>
        <w:trPr>
          <w:trHeight w:hRule="atLeast" w:val="735"/>
          <w:cantSplit w:val="false"/>
        </w:trPr>
        <w:tc>
          <w:tcPr>
            <w:tcW w:type="dxa" w:w="13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type="dxa" w:w="273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type="dxa" w:w="15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40,000</w:t>
            </w:r>
          </w:p>
        </w:tc>
        <w:tc>
          <w:tcPr>
            <w:tcW w:type="dxa" w:w="160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40,000</w:t>
            </w:r>
          </w:p>
        </w:tc>
        <w:tc>
          <w:tcPr>
            <w:tcW w:type="dxa" w:w="172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1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type="dxa" w:w="273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type="dxa" w:w="15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8352,933</w:t>
            </w:r>
          </w:p>
        </w:tc>
        <w:tc>
          <w:tcPr>
            <w:tcW w:type="dxa" w:w="160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7023,629</w:t>
            </w:r>
          </w:p>
        </w:tc>
        <w:tc>
          <w:tcPr>
            <w:tcW w:type="dxa" w:w="172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84,1</w:t>
            </w:r>
          </w:p>
        </w:tc>
      </w:tr>
    </w:tbl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Проанализировав итоги исполнения бюджета сельского поселения </w:t>
      </w:r>
      <w:r>
        <w:rPr>
          <w:rFonts w:ascii="Times New Roman" w:cs="Times New Roman" w:hAnsi="Times New Roman"/>
          <w:color w:val="000000"/>
          <w:sz w:val="28"/>
          <w:szCs w:val="28"/>
        </w:rPr>
        <w:t>Красная Поляна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муниципального района Пестравский Самарской области, сделаны следующие выводы: 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- бюджетное законодательство при организации бюджетного процесса в сельском поселении </w:t>
      </w:r>
      <w:r>
        <w:rPr>
          <w:rFonts w:ascii="Times New Roman" w:cs="Times New Roman" w:hAnsi="Times New Roman"/>
          <w:color w:val="000000"/>
          <w:sz w:val="28"/>
          <w:szCs w:val="28"/>
        </w:rPr>
        <w:t>Красная Поляна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муниципальном районе Пестравский соблюдается;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- исполнение расходных обязательств сельского поселения </w:t>
      </w:r>
      <w:r>
        <w:rPr>
          <w:rFonts w:ascii="Times New Roman" w:cs="Times New Roman" w:hAnsi="Times New Roman"/>
          <w:color w:val="000000"/>
          <w:sz w:val="28"/>
          <w:szCs w:val="28"/>
        </w:rPr>
        <w:t>Красная Поляна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обеспечено, увеличение или принятие новых расходных обязательств осуществляется при наличии их финансового обеспечения;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- анализ доходов показал, что на </w:t>
      </w:r>
      <w:r>
        <w:rPr>
          <w:rFonts w:ascii="Times New Roman" w:cs="Times New Roman" w:hAnsi="Times New Roman"/>
          <w:color w:val="000000"/>
          <w:sz w:val="28"/>
          <w:szCs w:val="28"/>
        </w:rPr>
        <w:t>72,9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% они состоят из поступивших налогов и неналоговых платежей и </w:t>
      </w:r>
      <w:r>
        <w:rPr>
          <w:rFonts w:ascii="Times New Roman" w:cs="Times New Roman" w:hAnsi="Times New Roman"/>
          <w:color w:val="000000"/>
          <w:sz w:val="28"/>
          <w:szCs w:val="28"/>
        </w:rPr>
        <w:t>27,1</w:t>
      </w:r>
      <w:r>
        <w:rPr>
          <w:rFonts w:ascii="Times New Roman" w:cs="Times New Roman" w:hAnsi="Times New Roman"/>
          <w:color w:val="000000"/>
          <w:sz w:val="28"/>
          <w:szCs w:val="28"/>
        </w:rPr>
        <w:t>% приходится на безвозмездные поступления в виде дотаций, субсидий, субвенций;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- выполнение плановых значений общих доходов  сложились на уровне </w:t>
      </w:r>
      <w:r>
        <w:rPr>
          <w:rFonts w:ascii="Times New Roman" w:cs="Times New Roman" w:hAnsi="Times New Roman"/>
          <w:color w:val="000000"/>
          <w:sz w:val="28"/>
          <w:szCs w:val="28"/>
        </w:rPr>
        <w:t>92,7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% и общих расходов  на уровне </w:t>
      </w:r>
      <w:r>
        <w:rPr>
          <w:rFonts w:ascii="Times New Roman" w:cs="Times New Roman" w:hAnsi="Times New Roman"/>
          <w:color w:val="000000"/>
          <w:sz w:val="28"/>
          <w:szCs w:val="28"/>
        </w:rPr>
        <w:t>84,1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%;  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- при проверке форм бюджетной отчетности несоответствия данных отраженных в формах, данным, отраженным в отчете об исполнении  </w:t>
      </w:r>
      <w:r>
        <w:rPr>
          <w:rFonts w:ascii="Times New Roman" w:cs="Times New Roman" w:hAnsi="Times New Roman"/>
          <w:color w:val="000000"/>
          <w:sz w:val="28"/>
          <w:szCs w:val="28"/>
        </w:rPr>
        <w:t>бюджета, не установлено; взаимная увязка данных соблюдена.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С учетом вышеизложенного комиссия по бюджету и имущественным отношениям Собрания представителей сельского поселения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Красная Поляна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муниципального района Пестравский Самарской области считает возможным утверждение годового отчета об исполнении бюджета сельского поселения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Красная Поляна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муниципального района Пестравский Самарской области за 2019 год. 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Председатель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комиссии по бюджету </w:t>
      </w:r>
    </w:p>
    <w:p>
      <w:pPr>
        <w:pStyle w:val="style0"/>
        <w:tabs>
          <w:tab w:leader="none" w:pos="708" w:val="left"/>
          <w:tab w:leader="none" w:pos="4677" w:val="center"/>
          <w:tab w:leader="none" w:pos="6936" w:val="left"/>
        </w:tabs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и имущественным отношениям                                           С.А. Пикалова</w:t>
      </w:r>
    </w:p>
    <w:sectPr>
      <w:type w:val="nextPage"/>
      <w:pgSz w:h="16838" w:w="11906"/>
      <w:pgMar w:bottom="1134" w:footer="0" w:gutter="0" w:header="0" w:left="1701" w:right="851" w:top="709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Верхний колонтитул Знак"/>
    <w:basedOn w:val="style15"/>
    <w:next w:val="style17"/>
    <w:rPr>
      <w:rFonts w:ascii="Times New Roman" w:cs="Times New Roman" w:eastAsia="Times New Roman" w:hAnsi="Times New Roman"/>
      <w:sz w:val="28"/>
      <w:szCs w:val="28"/>
      <w:lang w:eastAsia="ru-RU"/>
    </w:rPr>
  </w:style>
  <w:style w:styleId="style18" w:type="character">
    <w:name w:val="page number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5" w:type="paragraph">
    <w:name w:val="Верхний колонтитул"/>
    <w:basedOn w:val="style0"/>
    <w:next w:val="style25"/>
    <w:pPr>
      <w:widowControl w:val="false"/>
      <w:suppressLineNumbers/>
      <w:tabs>
        <w:tab w:leader="none" w:pos="-30" w:val="left"/>
        <w:tab w:leader="none" w:pos="4153" w:val="center"/>
        <w:tab w:leader="none" w:pos="8306" w:val="right"/>
      </w:tabs>
      <w:spacing w:after="0" w:before="0" w:line="100" w:lineRule="atLeast"/>
      <w:ind w:firstLine="539" w:left="0" w:right="0"/>
      <w:jc w:val="both"/>
    </w:pPr>
    <w:rPr>
      <w:rFonts w:ascii="Times New Roman" w:cs="Times New Roman" w:eastAsia="Times New Roman" w:hAnsi="Times New Roman"/>
      <w:sz w:val="28"/>
      <w:szCs w:val="28"/>
      <w:lang w:eastAsia="ru-RU"/>
    </w:rPr>
  </w:style>
  <w:style w:styleId="style26" w:type="paragraph">
    <w:name w:val="Нижний колонтитул"/>
    <w:basedOn w:val="style0"/>
    <w:next w:val="style26"/>
    <w:pPr>
      <w:suppressLineNumbers/>
      <w:tabs>
        <w:tab w:leader="none" w:pos="4677" w:val="center"/>
        <w:tab w:leader="none" w:pos="935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2019-11-08T09:27:00.00Z</dcterms:created>
  <dc:creator>Марина Данчева</dc:creator>
  <cp:lastModifiedBy>Батова</cp:lastModifiedBy>
  <cp:lastPrinted>2020-04-07T07:52:00.00Z</cp:lastPrinted>
  <dcterms:modified xsi:type="dcterms:W3CDTF">2020-04-07T07:57:00.00Z</dcterms:modified>
  <cp:revision>55</cp:revision>
</cp:coreProperties>
</file>